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96" w:rsidRDefault="00C71396">
      <w:pPr>
        <w:spacing w:line="211" w:lineRule="auto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附件</w:t>
      </w:r>
      <w:r>
        <w:rPr>
          <w:rFonts w:ascii="方正黑体_GBK" w:eastAsia="方正黑体_GBK" w:hAnsi="Times New Roman"/>
          <w:sz w:val="32"/>
          <w:szCs w:val="32"/>
        </w:rPr>
        <w:t>1</w:t>
      </w:r>
    </w:p>
    <w:p w:rsidR="00C71396" w:rsidRDefault="00C71396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安徽省技能型高水平大学建设标准</w:t>
      </w:r>
      <w:r w:rsidRPr="005C7F8C">
        <w:rPr>
          <w:rFonts w:ascii="方正小标宋_GBK" w:eastAsia="方正小标宋_GBK" w:hint="eastAsia"/>
          <w:sz w:val="32"/>
          <w:szCs w:val="32"/>
        </w:rPr>
        <w:t>（试行）</w:t>
      </w:r>
    </w:p>
    <w:p w:rsidR="00C71396" w:rsidRDefault="00C71396">
      <w:pPr>
        <w:jc w:val="center"/>
      </w:pPr>
      <w:r>
        <w:t xml:space="preserve"> </w:t>
      </w:r>
    </w:p>
    <w:p w:rsidR="00C71396" w:rsidRDefault="00C71396">
      <w:pPr>
        <w:jc w:val="center"/>
      </w:pPr>
    </w:p>
    <w:p w:rsidR="00C71396" w:rsidRDefault="00C71396"/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7229"/>
      </w:tblGrid>
      <w:tr w:rsidR="00C71396">
        <w:trPr>
          <w:trHeight w:val="424"/>
        </w:trPr>
        <w:tc>
          <w:tcPr>
            <w:tcW w:w="1101" w:type="dxa"/>
          </w:tcPr>
          <w:p w:rsidR="00C71396" w:rsidRDefault="00C71396">
            <w:pPr>
              <w:jc w:val="center"/>
              <w:rPr>
                <w:b/>
                <w:bCs/>
                <w:u w:color="FFFFFF"/>
              </w:rPr>
            </w:pPr>
            <w:r>
              <w:rPr>
                <w:rFonts w:hint="eastAsia"/>
                <w:b/>
                <w:bCs/>
                <w:u w:val="single" w:color="FFFFFF"/>
              </w:rPr>
              <w:t>指</w:t>
            </w:r>
            <w:r>
              <w:rPr>
                <w:b/>
                <w:bCs/>
                <w:u w:val="single" w:color="FFFFFF"/>
              </w:rPr>
              <w:t xml:space="preserve"> </w:t>
            </w:r>
            <w:r>
              <w:rPr>
                <w:rFonts w:hint="eastAsia"/>
                <w:b/>
                <w:bCs/>
                <w:u w:val="single" w:color="FFFFFF"/>
              </w:rPr>
              <w:t>标</w:t>
            </w:r>
          </w:p>
        </w:tc>
        <w:tc>
          <w:tcPr>
            <w:tcW w:w="7229" w:type="dxa"/>
          </w:tcPr>
          <w:p w:rsidR="00C71396" w:rsidRDefault="00C71396">
            <w:pPr>
              <w:jc w:val="center"/>
              <w:rPr>
                <w:b/>
                <w:bCs/>
                <w:u w:color="FFFFFF"/>
              </w:rPr>
            </w:pPr>
            <w:r>
              <w:rPr>
                <w:rFonts w:hint="eastAsia"/>
                <w:b/>
                <w:bCs/>
                <w:u w:val="single" w:color="FFFFFF"/>
              </w:rPr>
              <w:t>标</w:t>
            </w:r>
            <w:r>
              <w:rPr>
                <w:b/>
                <w:bCs/>
                <w:u w:val="single" w:color="FFFFFF"/>
              </w:rPr>
              <w:t xml:space="preserve">  </w:t>
            </w:r>
            <w:r>
              <w:rPr>
                <w:rFonts w:hint="eastAsia"/>
                <w:b/>
                <w:bCs/>
                <w:u w:val="single" w:color="FFFFFF"/>
              </w:rPr>
              <w:t>准</w:t>
            </w:r>
          </w:p>
        </w:tc>
      </w:tr>
      <w:tr w:rsidR="00C71396">
        <w:trPr>
          <w:trHeight w:val="1765"/>
        </w:trPr>
        <w:tc>
          <w:tcPr>
            <w:tcW w:w="1101" w:type="dxa"/>
          </w:tcPr>
          <w:p w:rsidR="00C71396" w:rsidRDefault="00C71396"/>
          <w:p w:rsidR="00C71396" w:rsidRDefault="00C71396">
            <w:pPr>
              <w:jc w:val="center"/>
              <w:rPr>
                <w:b/>
              </w:rPr>
            </w:pPr>
          </w:p>
          <w:p w:rsidR="00C71396" w:rsidRDefault="00C71396">
            <w:pPr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1.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办学</w:t>
            </w:r>
          </w:p>
          <w:p w:rsidR="00C71396" w:rsidRDefault="00C71396">
            <w:pPr>
              <w:jc w:val="center"/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定位</w:t>
            </w:r>
          </w:p>
        </w:tc>
        <w:tc>
          <w:tcPr>
            <w:tcW w:w="7229" w:type="dxa"/>
          </w:tcPr>
          <w:p w:rsidR="00C71396" w:rsidRDefault="00C71396">
            <w:pPr>
              <w:widowControl/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1.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办学方向。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在党的坚强领导下，全面贯彻党的教育方针，坚持社会主义办学方向，以立德树人为根本任务，培养德智体美劳全面发展的社会主义建设者和接班人。</w:t>
            </w:r>
          </w:p>
          <w:p w:rsidR="00C71396" w:rsidRDefault="00C71396" w:rsidP="008700B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2.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学校治理。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坚持党委领导下的校长负责制，充分发挥党委总揽全局、协调各方的领导核心作用；推进学校治理体系和治理能力现代化。</w:t>
            </w:r>
          </w:p>
          <w:p w:rsidR="00BF1AD0" w:rsidRDefault="00C71396" w:rsidP="005C7F8C">
            <w:pPr>
              <w:widowControl/>
              <w:spacing w:line="580" w:lineRule="exact"/>
              <w:ind w:firstLineChars="200" w:firstLine="562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党委会、校长办公会纪要；学院章程。</w:t>
            </w:r>
          </w:p>
          <w:p w:rsidR="00C71396" w:rsidRDefault="00C71396">
            <w:pPr>
              <w:widowControl/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3.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发展规划。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与安徽经济社会发展同步规划、与产业升级和新型产业发展同步实施、与技术进步同步升级，促进人才培养供给侧和产业需求侧结构要素全方位融合。</w:t>
            </w:r>
          </w:p>
          <w:p w:rsidR="00BF1AD0" w:rsidRDefault="00C71396" w:rsidP="005C7F8C">
            <w:pPr>
              <w:widowControl/>
              <w:spacing w:line="580" w:lineRule="exact"/>
              <w:ind w:firstLineChars="200" w:firstLine="562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学校发展规划等。</w:t>
            </w:r>
          </w:p>
          <w:p w:rsidR="00C71396" w:rsidRDefault="003140D8" w:rsidP="008700B9">
            <w:pPr>
              <w:widowControl/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3140D8">
              <w:rPr>
                <w:rFonts w:ascii="方正仿宋_GBK" w:eastAsia="方正仿宋_GBK" w:hAnsi="仿宋" w:cs="仿宋"/>
                <w:b/>
                <w:sz w:val="28"/>
                <w:szCs w:val="28"/>
              </w:rPr>
              <w:t>4.</w:t>
            </w:r>
            <w:r w:rsidR="00C71396"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专业设置。</w:t>
            </w:r>
            <w:r w:rsidR="00C71396">
              <w:rPr>
                <w:rFonts w:ascii="方正仿宋_GBK" w:eastAsia="方正仿宋_GBK" w:hAnsi="仿宋" w:cs="仿宋" w:hint="eastAsia"/>
                <w:sz w:val="28"/>
                <w:szCs w:val="28"/>
              </w:rPr>
              <w:t>专业设置与地方产业结构相匹配；能随产业升级和新兴产业动态调整专业和改造传统专业，适应产业变革和新经济发展，形成特色鲜明的专业供给。</w:t>
            </w:r>
          </w:p>
          <w:p w:rsidR="00BF1AD0" w:rsidRDefault="00C71396" w:rsidP="005C7F8C">
            <w:pPr>
              <w:widowControl/>
              <w:spacing w:line="580" w:lineRule="exact"/>
              <w:ind w:firstLineChars="200" w:firstLine="562"/>
              <w:rPr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学校专业发展规划等；专业设置与区域重点产业匹配度达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80%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以上（行业类院校专业设置</w:t>
            </w:r>
            <w:proofErr w:type="gramStart"/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需能够</w:t>
            </w:r>
            <w:proofErr w:type="gramEnd"/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覆盖和服务行业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80%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以上的岗位）；安徽本地就业率达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70%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以上（市属院校在本市区域内就业率达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30%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lastRenderedPageBreak/>
              <w:t>上或省内就业率达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70%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以上）；在高成长企业或中小</w:t>
            </w:r>
            <w:proofErr w:type="gramStart"/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微企业</w:t>
            </w:r>
            <w:proofErr w:type="gramEnd"/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就业率达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60%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以上；与国内知名企业或行业领军企业共建专业比例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以上。</w:t>
            </w:r>
          </w:p>
        </w:tc>
      </w:tr>
      <w:tr w:rsidR="00C71396">
        <w:trPr>
          <w:trHeight w:val="90"/>
        </w:trPr>
        <w:tc>
          <w:tcPr>
            <w:tcW w:w="1101" w:type="dxa"/>
          </w:tcPr>
          <w:p w:rsidR="00C71396" w:rsidRDefault="00C71396">
            <w:pPr>
              <w:widowControl/>
              <w:spacing w:line="580" w:lineRule="exac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widowControl/>
              <w:spacing w:line="580" w:lineRule="exac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widowControl/>
              <w:spacing w:line="580" w:lineRule="exac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widowControl/>
              <w:spacing w:line="580" w:lineRule="exac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widowControl/>
              <w:spacing w:line="580" w:lineRule="exac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widowControl/>
              <w:spacing w:line="580" w:lineRule="exac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widowControl/>
              <w:spacing w:line="580" w:lineRule="exac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widowControl/>
              <w:spacing w:line="580" w:lineRule="exac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widowControl/>
              <w:spacing w:line="580" w:lineRule="exact"/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2.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技术技能人才培养</w:t>
            </w:r>
          </w:p>
        </w:tc>
        <w:tc>
          <w:tcPr>
            <w:tcW w:w="7229" w:type="dxa"/>
          </w:tcPr>
          <w:p w:rsidR="00C71396" w:rsidRDefault="00C71396" w:rsidP="008700B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5.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培养目标定位。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在满足专业人才培养目标前提下，部分专业要以培养“高精尖缺”技术技能人才为专业人才培养目标，实现高定位的培养目标；落实国家专业标准，鼓励制订实施高于国家标准的校本标准；实行</w:t>
            </w:r>
            <w:r w:rsidR="009B02FE" w:rsidRPr="009B02FE">
              <w:rPr>
                <w:rFonts w:ascii="方正仿宋_GBK" w:eastAsia="方正仿宋_GBK" w:hAnsi="仿宋" w:cs="仿宋" w:hint="eastAsia"/>
                <w:sz w:val="28"/>
                <w:szCs w:val="28"/>
              </w:rPr>
              <w:t>1+X(学历证书+职业技能等级证书) 证书制度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。</w:t>
            </w:r>
          </w:p>
          <w:p w:rsidR="00BF1AD0" w:rsidRDefault="00C71396" w:rsidP="005C7F8C">
            <w:pPr>
              <w:widowControl/>
              <w:spacing w:line="580" w:lineRule="exact"/>
              <w:ind w:firstLineChars="200" w:firstLine="562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专业人才培养方案、校本标准等；“高精尖缺”技术技能人才比例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以上；在校生取得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X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证书人数不少于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30%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。</w:t>
            </w:r>
          </w:p>
          <w:p w:rsidR="00C71396" w:rsidRDefault="00C71396" w:rsidP="0084010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6.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产教融合、校企合作。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促进教育链、人才链与产业链、创新链有机衔接的产教融合，深化“引企入教”改革，与知名行业企业建立产教联盟，共同开发专业标准、课程标准和人才质量标准，建立职业教育模式标准；优选业内领先企业开展现代学徒制培养，在技术性、实践性较强的专业探索“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3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天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+2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天”的教学组织形式。</w:t>
            </w:r>
          </w:p>
          <w:p w:rsidR="00BF1AD0" w:rsidRDefault="00C71396" w:rsidP="005C7F8C">
            <w:pPr>
              <w:widowControl/>
              <w:spacing w:line="580" w:lineRule="exact"/>
              <w:ind w:firstLineChars="200" w:firstLine="562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共同开发的相关标准等；成为教育部或省批准的现代学徒制和企业新型学徒制试点单位；各类订单班、现代学徒制等参与人数占比达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以上。</w:t>
            </w:r>
          </w:p>
          <w:p w:rsidR="00C71396" w:rsidRDefault="00C71396" w:rsidP="008700B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7.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品牌专业（群）建设。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瞄准地方产业发展前沿建设一流品牌专业（群），在地方或行业内有较高的知名度；探索专业（群）联合知名企业建设特色产业学院，共同建设专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lastRenderedPageBreak/>
              <w:t>业（群）；重视专业资源建设，职业教育专业教学资源库建设成效明显。</w:t>
            </w:r>
          </w:p>
          <w:p w:rsidR="00BF1AD0" w:rsidRDefault="00C71396" w:rsidP="005C7F8C">
            <w:pPr>
              <w:widowControl/>
              <w:spacing w:line="580" w:lineRule="exact"/>
              <w:ind w:firstLineChars="200" w:firstLine="562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有特色产业学院；省级重点建设（示范、特色等）专业达到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6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个；国家级重点建设专业达到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3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以上；主持（含联合）国家级（或备选）职业教育专业教学资源库或不少于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4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个专业参与国家级职业教育专业教学资源库建设。</w:t>
            </w:r>
          </w:p>
          <w:p w:rsidR="00C71396" w:rsidRDefault="00C71396" w:rsidP="008700B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8.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课程改革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。强调理论与实践的融合，依据行动导向，紧贴岗位实际工作过程，大力推进项目化和任务化课程建设，动态更新课程内容，建立职业教育课程标准；充分利用信息化技术改造传统课堂，提升教学效果，推进虚拟工厂等网络学习空间建设和普遍应用；教材随信息技术发展和产业升级及时动态调整。</w:t>
            </w:r>
          </w:p>
          <w:p w:rsidR="00BF1AD0" w:rsidRDefault="00C71396" w:rsidP="005C7F8C">
            <w:pPr>
              <w:widowControl/>
              <w:spacing w:line="580" w:lineRule="exact"/>
              <w:ind w:firstLineChars="200" w:firstLine="562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有国家级精品在线开放课程或省级以上精品在线开放课程达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3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门以上；有校企“双元”合作开发的国家级教材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种以上；利用信息化手段完成课堂教学的教师比例达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60%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以上；近三年省级以上教学能力大赛获奖数达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项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/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年以上或国家级教学能力大赛获奖数达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2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项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/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年以上。</w:t>
            </w:r>
          </w:p>
          <w:p w:rsidR="00C71396" w:rsidRDefault="00C71396" w:rsidP="008700B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9.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创新创业教育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。以创新带动创业、推进专业教育基础上的创新创业教育；建成具有鲜明职业教育特色的创新创业课程体系；形成一批产教融合的创新创业服务模式。</w:t>
            </w:r>
          </w:p>
          <w:p w:rsidR="00BF1AD0" w:rsidRDefault="00C71396" w:rsidP="005C7F8C">
            <w:pPr>
              <w:widowControl/>
              <w:spacing w:line="580" w:lineRule="exact"/>
              <w:ind w:firstLineChars="200" w:firstLine="562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创新创业课程体系；校友毕业三年内创业率达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以上；校内创业孵化存活率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40%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以上。</w:t>
            </w:r>
          </w:p>
          <w:p w:rsidR="00C71396" w:rsidRDefault="00C71396" w:rsidP="008700B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lastRenderedPageBreak/>
              <w:t>10.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人才培养质量与教学成果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。建立健全专业人才培养质量标准，定期发布高等职业教育质量年度报告；社会认可度高，企业满意度高；建立健全三级职业技能竞赛体制机制；注重总结教学成果。</w:t>
            </w:r>
          </w:p>
          <w:p w:rsidR="00BF1AD0" w:rsidRDefault="00C71396" w:rsidP="005C7F8C">
            <w:pPr>
              <w:widowControl/>
              <w:spacing w:line="580" w:lineRule="exact"/>
              <w:ind w:firstLineChars="200" w:firstLine="562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学校质量年度报告等；学生报考率、报到率均居全省高职院校前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1/3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；有国家教学成果奖或省级教学一等奖以上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3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项以上；省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(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部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)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级技能大赛获奖数每年达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30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个（财经、政法、体育、艺术院校达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20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个；师范、医学院校达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10</w:t>
            </w:r>
            <w:r w:rsidR="00D15B33">
              <w:rPr>
                <w:rFonts w:ascii="方正仿宋_GBK" w:eastAsia="方正仿宋_GBK" w:hAnsi="仿宋" w:cs="仿宋" w:hint="eastAsia"/>
                <w:sz w:val="28"/>
                <w:szCs w:val="28"/>
              </w:rPr>
              <w:t>个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）以上；全国职业技能大赛获奖数每年达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6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个（财经、政法、体育、艺术院校达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4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个；师范、医学院校达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3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个）以上。</w:t>
            </w:r>
          </w:p>
        </w:tc>
      </w:tr>
      <w:tr w:rsidR="00C71396">
        <w:trPr>
          <w:trHeight w:val="90"/>
        </w:trPr>
        <w:tc>
          <w:tcPr>
            <w:tcW w:w="1101" w:type="dxa"/>
          </w:tcPr>
          <w:p w:rsidR="00C71396" w:rsidRDefault="00C71396">
            <w:pPr>
              <w:jc w:val="center"/>
            </w:pPr>
          </w:p>
          <w:p w:rsidR="00C71396" w:rsidRDefault="00C71396">
            <w:pPr>
              <w:jc w:val="center"/>
              <w:rPr>
                <w:b/>
              </w:rPr>
            </w:pPr>
          </w:p>
          <w:p w:rsidR="00C71396" w:rsidRDefault="00C71396">
            <w:pPr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3.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师资队伍建设</w:t>
            </w:r>
          </w:p>
        </w:tc>
        <w:tc>
          <w:tcPr>
            <w:tcW w:w="7229" w:type="dxa"/>
          </w:tcPr>
          <w:p w:rsidR="00C71396" w:rsidRDefault="00C71396" w:rsidP="008700B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11.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师资队伍建设水平。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坚持把教师队伍建设作为基础工作，培育一支有理想信念、有道德情操、有扎实学识、有仁爱之心的教师队伍；落实教师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年一周期的全员轮训制度，具有支持教师持续提升教学水平和实践能力的制度机制并运行良好。</w:t>
            </w:r>
          </w:p>
          <w:p w:rsidR="00BF1AD0" w:rsidRDefault="00C71396" w:rsidP="005C7F8C">
            <w:pPr>
              <w:widowControl/>
              <w:spacing w:line="580" w:lineRule="exact"/>
              <w:ind w:firstLineChars="200" w:firstLine="562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师资队伍建设规划等；师生比达到或超过《普通高等学校基本办学条件指标》要求；重点建设专业具有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2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名高水平专业带头人；省部级以上教学名师、优秀教学团队、专业领军人才、高校优秀青年人才数量排名在全省前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 /3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；拥有海外留学、访学经历的国际水平的领军人才和高水平创新团队。</w:t>
            </w:r>
          </w:p>
          <w:p w:rsidR="00C71396" w:rsidRDefault="00C71396" w:rsidP="008700B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12.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“双师型”教师队伍建设。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培养和引进“双师型”教师，优化“双师”队伍结构；实施“双师”教师素质提高计划，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lastRenderedPageBreak/>
              <w:t>落实全员轮训；注重吸引高水平行业精英和企业骨干来校任教。</w:t>
            </w:r>
          </w:p>
          <w:p w:rsidR="00BF1AD0" w:rsidRDefault="00C71396" w:rsidP="005C7F8C">
            <w:pPr>
              <w:widowControl/>
              <w:spacing w:line="580" w:lineRule="exact"/>
              <w:ind w:firstLineChars="200" w:firstLine="562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专任专业课教师每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年在行业企业实践累计半年以上，每年至少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个月在企业或实训基地实训；专业课教师“双师型”比例达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80%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（财经、政法、体育、艺术院校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70%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；师范、医学院校达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60%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）以上；“双师型”教师与学生比例达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1:25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；企业一线兼职教师占专业课教师比例达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30%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以上；有技能大师工作室。</w:t>
            </w:r>
          </w:p>
        </w:tc>
      </w:tr>
      <w:tr w:rsidR="00C71396">
        <w:trPr>
          <w:trHeight w:val="1878"/>
        </w:trPr>
        <w:tc>
          <w:tcPr>
            <w:tcW w:w="1101" w:type="dxa"/>
          </w:tcPr>
          <w:p w:rsidR="00C71396" w:rsidRDefault="00C71396">
            <w:pPr>
              <w:jc w:val="center"/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4.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科技研发应用与社会服务</w:t>
            </w:r>
          </w:p>
        </w:tc>
        <w:tc>
          <w:tcPr>
            <w:tcW w:w="7229" w:type="dxa"/>
          </w:tcPr>
          <w:p w:rsidR="00C71396" w:rsidRDefault="00C71396" w:rsidP="008700B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13.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研发应用。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建立技术研发、成果转化、应用推广“一体化”机制；校企合作攻关、课题研究和技术革新，解决技术难题；协同创新水平高。</w:t>
            </w:r>
          </w:p>
          <w:p w:rsidR="00BF1AD0" w:rsidRDefault="00C71396" w:rsidP="005C7F8C">
            <w:pPr>
              <w:widowControl/>
              <w:spacing w:line="580" w:lineRule="exact"/>
              <w:ind w:firstLineChars="200" w:firstLine="562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技术服务到款额（横向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/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纵向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/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技术交易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/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非学历培训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/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公益性培训服务）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1000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万元（财经、政法、体育、艺术院校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500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万元；师范、医学院校达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800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万元）以上；有应用技术协同创新中心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3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个以上。</w:t>
            </w:r>
          </w:p>
          <w:p w:rsidR="00C71396" w:rsidRDefault="00C71396" w:rsidP="008700B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14.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成果开发与转化。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建立技术成果孵化转移新体制，鼓励教师从事成果开发和转化活动，探索以成果完成人、转化人为分配主体的成果收益分配机制；提升民族传统工艺的高保真传承和高水平创新；重视知识产权成果的开发与保护。</w:t>
            </w:r>
          </w:p>
          <w:p w:rsidR="00BF1AD0" w:rsidRDefault="00C71396" w:rsidP="005C7F8C">
            <w:pPr>
              <w:widowControl/>
              <w:spacing w:line="580" w:lineRule="exact"/>
              <w:ind w:firstLineChars="200" w:firstLine="562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年均授权专利数达到在校生数的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0.1%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（财经、政法、体育、艺术院校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0.05%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；师范、医学院校有专利）以上；技术成果转化数量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个（财经、政法、体育、艺术院校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个；师范、医学院校有技术转化）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lastRenderedPageBreak/>
              <w:t>以上。</w:t>
            </w:r>
          </w:p>
          <w:p w:rsidR="00C71396" w:rsidRDefault="00C71396" w:rsidP="008700B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15.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社会服务。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探索建立类型链（继续教育、自考、远程）、层次链（专、本、硕）和形式链（培训、鉴定、认证）融合发展的全方位社会服务新模式，助力学习型社会建设。</w:t>
            </w:r>
          </w:p>
          <w:p w:rsidR="00BF1AD0" w:rsidRDefault="00C71396" w:rsidP="005C7F8C">
            <w:pPr>
              <w:widowControl/>
              <w:spacing w:line="580" w:lineRule="exact"/>
              <w:ind w:firstLineChars="200" w:firstLine="562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培训和鉴定人次达到普通在校生规模的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1.2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倍（财经、政法、体育、艺术院校和师范、医学院校达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0.6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倍）以上；继续教育规模达到普通在校生规模的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1/2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以上；职业教育师资培训人次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500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人次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/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年；有省级以上职业教育师资培训基地。</w:t>
            </w:r>
          </w:p>
        </w:tc>
      </w:tr>
      <w:tr w:rsidR="00C71396">
        <w:trPr>
          <w:trHeight w:val="1020"/>
        </w:trPr>
        <w:tc>
          <w:tcPr>
            <w:tcW w:w="1101" w:type="dxa"/>
          </w:tcPr>
          <w:p w:rsidR="00C71396" w:rsidRDefault="00C71396">
            <w:pPr>
              <w:rPr>
                <w:color w:val="0000FF"/>
              </w:rPr>
            </w:pPr>
          </w:p>
          <w:p w:rsidR="00BF1AD0" w:rsidRDefault="00C71396" w:rsidP="005C7F8C">
            <w:pPr>
              <w:ind w:firstLineChars="300" w:firstLine="843"/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 xml:space="preserve"> </w:t>
            </w:r>
          </w:p>
          <w:p w:rsidR="00BF1AD0" w:rsidRDefault="00BF1AD0" w:rsidP="005C7F8C">
            <w:pPr>
              <w:ind w:firstLineChars="300" w:firstLine="843"/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 w:rsidP="008700B9">
            <w:pPr>
              <w:jc w:val="left"/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5.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校园文化</w:t>
            </w: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C71396" w:rsidRPr="00D70BAD" w:rsidRDefault="00C71396" w:rsidP="00D70BAD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16.</w:t>
            </w:r>
            <w:r w:rsidRPr="00D70BAD">
              <w:rPr>
                <w:rFonts w:ascii="方正仿宋_GBK" w:eastAsia="方正仿宋_GBK" w:hAnsi="仿宋" w:cs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70BAD">
              <w:rPr>
                <w:rFonts w:ascii="方正仿宋_GBK" w:eastAsia="方正仿宋_GBK" w:hAnsi="仿宋" w:cs="仿宋" w:hint="eastAsia"/>
                <w:b/>
                <w:bCs/>
                <w:color w:val="000000"/>
                <w:sz w:val="28"/>
                <w:szCs w:val="28"/>
              </w:rPr>
              <w:t>文化</w:t>
            </w:r>
            <w:r>
              <w:rPr>
                <w:rFonts w:ascii="方正仿宋_GBK" w:eastAsia="方正仿宋_GBK" w:hAnsi="仿宋" w:cs="仿宋" w:hint="eastAsia"/>
                <w:b/>
                <w:bCs/>
                <w:color w:val="000000"/>
                <w:sz w:val="28"/>
                <w:szCs w:val="28"/>
              </w:rPr>
              <w:t>育</w:t>
            </w:r>
            <w:r w:rsidRPr="00D70BAD">
              <w:rPr>
                <w:rFonts w:ascii="方正仿宋_GBK" w:eastAsia="方正仿宋_GBK" w:hAnsi="仿宋" w:cs="仿宋" w:hint="eastAsia"/>
                <w:b/>
                <w:bCs/>
                <w:color w:val="000000"/>
                <w:sz w:val="28"/>
                <w:szCs w:val="28"/>
              </w:rPr>
              <w:t>人。</w:t>
            </w:r>
            <w:r w:rsidRPr="00D70BAD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把社会主义核心价值观融入学校发展各方面，培养学生工匠精神，厚植工匠文化，建立职业教育素养标准，打造具有学校自身特色的校园文化。</w:t>
            </w:r>
          </w:p>
          <w:p w:rsidR="00BF1AD0" w:rsidRDefault="00C71396" w:rsidP="005C7F8C">
            <w:pPr>
              <w:widowControl/>
              <w:spacing w:line="580" w:lineRule="exact"/>
              <w:ind w:firstLineChars="200" w:firstLine="562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70BAD">
              <w:rPr>
                <w:rFonts w:ascii="方正仿宋_GBK" w:eastAsia="方正仿宋_GBK" w:hAnsi="仿宋" w:cs="仿宋" w:hint="eastAsia"/>
                <w:b/>
                <w:bCs/>
                <w:color w:val="000000"/>
                <w:sz w:val="28"/>
                <w:szCs w:val="28"/>
              </w:rPr>
              <w:t>主要监测内容和指标：</w:t>
            </w:r>
            <w:r w:rsidRPr="00D70BAD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校园文化建设发展规划；文化育人体系等；获省部级以上文明单位或文明校园称号；获得省部级表彰的优秀毕业生学生；校园文化建设方面的省部级媒体报道新闻；校园文化品牌活动等。</w:t>
            </w:r>
          </w:p>
          <w:p w:rsidR="00C71396" w:rsidRPr="00D70BAD" w:rsidRDefault="00C71396" w:rsidP="00D70BAD">
            <w:pPr>
              <w:widowControl/>
              <w:spacing w:line="580" w:lineRule="exact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70BAD">
              <w:rPr>
                <w:rFonts w:ascii="方正仿宋_GBK" w:eastAsia="方正仿宋_GBK" w:hAnsi="仿宋" w:cs="仿宋"/>
                <w:b/>
                <w:bCs/>
                <w:color w:val="000000"/>
                <w:sz w:val="28"/>
                <w:szCs w:val="28"/>
              </w:rPr>
              <w:t>17.</w:t>
            </w:r>
            <w:r w:rsidRPr="00D70BAD">
              <w:rPr>
                <w:rFonts w:ascii="方正仿宋_GBK" w:eastAsia="方正仿宋_GBK" w:hAnsi="仿宋" w:cs="仿宋" w:hint="eastAsia"/>
                <w:b/>
                <w:bCs/>
                <w:color w:val="000000"/>
                <w:sz w:val="28"/>
                <w:szCs w:val="28"/>
              </w:rPr>
              <w:t>管理文化。</w:t>
            </w:r>
            <w:r w:rsidRPr="00D70BAD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完善作风建设机制，厘清部门职能职责，加强权力运行制约和监督，强化内控体系建设；丰富领导和师生交流渠道，提高民主管理水平；倡导包容文化，建立容错机制，营造良好的校园人文生态。</w:t>
            </w:r>
          </w:p>
          <w:p w:rsidR="00BF1AD0" w:rsidRDefault="00C71396" w:rsidP="005C7F8C">
            <w:pPr>
              <w:widowControl/>
              <w:spacing w:line="580" w:lineRule="exact"/>
              <w:ind w:firstLineChars="200" w:firstLine="562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70BAD">
              <w:rPr>
                <w:rFonts w:ascii="方正仿宋_GBK" w:eastAsia="方正仿宋_GBK" w:hAnsi="仿宋" w:cs="仿宋" w:hint="eastAsia"/>
                <w:b/>
                <w:bCs/>
                <w:color w:val="000000"/>
                <w:sz w:val="28"/>
                <w:szCs w:val="28"/>
              </w:rPr>
              <w:t>主要监测内容和指标：</w:t>
            </w:r>
            <w:r w:rsidRPr="00D70BAD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学校“三定方案”；党务校务公开情况；学校内控手册等；校领导与师生交流沟通等活动记录；学术委员会活动记录。</w:t>
            </w:r>
          </w:p>
          <w:p w:rsidR="00C71396" w:rsidRDefault="003140D8" w:rsidP="00717262">
            <w:pPr>
              <w:widowControl/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3140D8">
              <w:rPr>
                <w:rFonts w:ascii="方正仿宋_GBK" w:eastAsia="方正仿宋_GBK" w:hAnsi="仿宋" w:cs="仿宋"/>
                <w:b/>
                <w:color w:val="000000"/>
                <w:sz w:val="28"/>
                <w:szCs w:val="28"/>
              </w:rPr>
              <w:t>18.</w:t>
            </w:r>
            <w:r w:rsidRPr="003140D8">
              <w:rPr>
                <w:rFonts w:ascii="方正仿宋_GBK" w:eastAsia="方正仿宋_GBK" w:hAnsi="仿宋" w:cs="仿宋" w:hint="eastAsia"/>
                <w:b/>
                <w:color w:val="000000"/>
                <w:sz w:val="28"/>
                <w:szCs w:val="28"/>
              </w:rPr>
              <w:t>校</w:t>
            </w:r>
            <w:r w:rsidR="00C71396">
              <w:rPr>
                <w:rFonts w:ascii="方正仿宋_GBK" w:eastAsia="方正仿宋_GBK" w:hAnsi="仿宋" w:cs="仿宋" w:hint="eastAsia"/>
                <w:b/>
                <w:sz w:val="28"/>
                <w:szCs w:val="28"/>
              </w:rPr>
              <w:t>园环境。</w:t>
            </w:r>
            <w:r w:rsidR="00C71396">
              <w:rPr>
                <w:rFonts w:ascii="方正仿宋_GBK" w:eastAsia="方正仿宋_GBK" w:hAnsi="仿宋" w:cs="仿宋" w:hint="eastAsia"/>
                <w:sz w:val="28"/>
                <w:szCs w:val="28"/>
              </w:rPr>
              <w:t>校园布局合理、环境优美、生态和谐。</w:t>
            </w:r>
          </w:p>
          <w:p w:rsidR="00BF1AD0" w:rsidRDefault="00C71396" w:rsidP="005C7F8C">
            <w:pPr>
              <w:widowControl/>
              <w:spacing w:line="580" w:lineRule="exact"/>
              <w:ind w:firstLineChars="200" w:firstLine="562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70BAD">
              <w:rPr>
                <w:rFonts w:ascii="方正仿宋_GBK" w:eastAsia="方正仿宋_GBK" w:hAnsi="仿宋" w:cs="仿宋" w:hint="eastAsia"/>
                <w:b/>
                <w:bCs/>
                <w:color w:val="000000"/>
                <w:sz w:val="28"/>
                <w:szCs w:val="28"/>
              </w:rPr>
              <w:lastRenderedPageBreak/>
              <w:t>主要监测内容和指标：</w:t>
            </w:r>
            <w:r>
              <w:rPr>
                <w:rFonts w:ascii="方正仿宋_GBK" w:eastAsia="方正仿宋_GBK" w:hAnsi="仿宋" w:cs="仿宋" w:hint="eastAsia"/>
                <w:b/>
                <w:bCs/>
                <w:color w:val="000000"/>
                <w:sz w:val="28"/>
                <w:szCs w:val="28"/>
              </w:rPr>
              <w:t>校容校貌、校园环境设施等</w:t>
            </w:r>
          </w:p>
        </w:tc>
      </w:tr>
      <w:tr w:rsidR="00C71396">
        <w:trPr>
          <w:trHeight w:val="1500"/>
        </w:trPr>
        <w:tc>
          <w:tcPr>
            <w:tcW w:w="1101" w:type="dxa"/>
          </w:tcPr>
          <w:p w:rsidR="00C71396" w:rsidRDefault="00C71396"/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 w:rsidP="00840109">
            <w:pPr>
              <w:jc w:val="left"/>
              <w:rPr>
                <w:color w:val="0000FF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6.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开放办学</w:t>
            </w:r>
          </w:p>
        </w:tc>
        <w:tc>
          <w:tcPr>
            <w:tcW w:w="7229" w:type="dxa"/>
          </w:tcPr>
          <w:p w:rsidR="00C71396" w:rsidRDefault="00C71396" w:rsidP="0084010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19.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国际交流。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积极拓展国际交流；引进高水平教育资源；吸引“一带一路”沿线国家学生接受教育；承接“走出去”海外员工的职业教育培训。</w:t>
            </w:r>
          </w:p>
          <w:p w:rsidR="00BF1AD0" w:rsidRDefault="00C71396" w:rsidP="005C7F8C">
            <w:pPr>
              <w:widowControl/>
              <w:spacing w:line="580" w:lineRule="exact"/>
              <w:ind w:firstLineChars="200" w:firstLine="562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具有经教育主管部门批准的中外合作办学项目或国际教育交流项目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个以上。具有服务相关行业企业“走出去”的技术服务和技能培训项目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个以上。</w:t>
            </w:r>
          </w:p>
          <w:p w:rsidR="00C71396" w:rsidRDefault="00C71396" w:rsidP="0084010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20.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开放办学。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联合职业院校和相关企业组建职业教育集团或联盟，发展成紧密型职业教育集团，完善集团内部产权制度和利益共享机制；推进“学分银行”建设和应用促进学历证书和职业技能等级证书融通。</w:t>
            </w:r>
          </w:p>
          <w:p w:rsidR="00BF1AD0" w:rsidRDefault="00C71396" w:rsidP="005C7F8C">
            <w:pPr>
              <w:widowControl/>
              <w:spacing w:line="580" w:lineRule="exact"/>
              <w:ind w:firstLineChars="200" w:firstLine="562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职教集团运行机制、“学分银行”方案；学历证书和职业技能等级证书融通办法。</w:t>
            </w:r>
          </w:p>
        </w:tc>
      </w:tr>
      <w:tr w:rsidR="00C71396">
        <w:trPr>
          <w:trHeight w:val="90"/>
        </w:trPr>
        <w:tc>
          <w:tcPr>
            <w:tcW w:w="1101" w:type="dxa"/>
          </w:tcPr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7.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条件保障</w:t>
            </w:r>
          </w:p>
        </w:tc>
        <w:tc>
          <w:tcPr>
            <w:tcW w:w="7229" w:type="dxa"/>
          </w:tcPr>
          <w:p w:rsidR="00C71396" w:rsidRDefault="00C71396" w:rsidP="0084010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21.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基础条件。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校园规划布局合理、环境优美、生态和谐；校园基础设施、实践教学条件优越；推动基于物联网、移动互联、大数据、云计算、人工智能的学校治理方式变革，建成功能先进的智慧校园和完善的信息化服务体系。</w:t>
            </w:r>
          </w:p>
          <w:p w:rsidR="00BF1AD0" w:rsidRDefault="00C71396" w:rsidP="005C7F8C">
            <w:pPr>
              <w:widowControl/>
              <w:spacing w:line="580" w:lineRule="exact"/>
              <w:ind w:firstLineChars="200" w:firstLine="562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校园建设规划；生均占地面积、各类建筑和场所面积等条件超过国家规定的建设标准；理工农</w:t>
            </w:r>
            <w:proofErr w:type="gramStart"/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类院校生</w:t>
            </w:r>
            <w:proofErr w:type="gramStart"/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均教学</w:t>
            </w:r>
            <w:proofErr w:type="gramEnd"/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科研仪器设备值达到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8 000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元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/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生以上；财经、政法、体育、艺术院校生</w:t>
            </w:r>
            <w:proofErr w:type="gramStart"/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均教学</w:t>
            </w:r>
            <w:proofErr w:type="gramEnd"/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科研仪器设备值达到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6000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元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/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生以上；生均信息化</w:t>
            </w:r>
            <w:proofErr w:type="gramStart"/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投入值</w:t>
            </w:r>
            <w:proofErr w:type="gramEnd"/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达到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2000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元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/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lastRenderedPageBreak/>
              <w:t>生以上。</w:t>
            </w:r>
          </w:p>
          <w:p w:rsidR="00C71396" w:rsidRDefault="00C71396" w:rsidP="0084010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22.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经费投入。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主管部门或举办者拨付的经费充足，能够满足学校事业发展的需要；学校用于教学经费的比例高，主要经费投入教学一线。</w:t>
            </w:r>
          </w:p>
          <w:p w:rsidR="00BF1AD0" w:rsidRDefault="00C71396" w:rsidP="005C7F8C">
            <w:pPr>
              <w:widowControl/>
              <w:spacing w:line="580" w:lineRule="exact"/>
              <w:ind w:firstLineChars="200" w:firstLine="562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年生均办学经费水平达到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12000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元以上（含财政拨款和其他经费来源）；学校用于教学经费的比例达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以上，其中实践教学经费占生</w:t>
            </w:r>
            <w:proofErr w:type="gramStart"/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均教学</w:t>
            </w:r>
            <w:proofErr w:type="gramEnd"/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经费达到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（财经、政法、体育、艺术院校达到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30%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）以上。</w:t>
            </w:r>
          </w:p>
          <w:p w:rsidR="00C71396" w:rsidRDefault="00C71396" w:rsidP="0084010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23.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保障体系。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学校具备完整严谨的教学体系，规范的管理制度；全面实施教学工作诊断与改进制度，形成常态化的内部质量保证制度体系和运行机制。</w:t>
            </w:r>
          </w:p>
          <w:p w:rsidR="00BF1AD0" w:rsidRDefault="00C71396" w:rsidP="005C7F8C">
            <w:pPr>
              <w:widowControl/>
              <w:spacing w:line="580" w:lineRule="exact"/>
              <w:ind w:firstLineChars="200" w:firstLine="562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教学工作诊断方案；</w:t>
            </w:r>
            <w:proofErr w:type="gramStart"/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诊改复核</w:t>
            </w:r>
            <w:proofErr w:type="gramEnd"/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等级达到“有效”。</w:t>
            </w:r>
          </w:p>
        </w:tc>
      </w:tr>
    </w:tbl>
    <w:p w:rsidR="00C71396" w:rsidRDefault="00C71396">
      <w:bookmarkStart w:id="0" w:name="_GoBack"/>
      <w:bookmarkEnd w:id="0"/>
    </w:p>
    <w:sectPr w:rsidR="00C71396" w:rsidSect="00C71396"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396" w:rsidRDefault="00C71396" w:rsidP="00EB3E93">
      <w:r>
        <w:separator/>
      </w:r>
    </w:p>
  </w:endnote>
  <w:endnote w:type="continuationSeparator" w:id="0">
    <w:p w:rsidR="00C71396" w:rsidRDefault="00C71396" w:rsidP="00EB3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96" w:rsidRDefault="00C71396">
    <w:pPr>
      <w:pStyle w:val="a5"/>
      <w:tabs>
        <w:tab w:val="left" w:pos="6923"/>
      </w:tabs>
    </w:pPr>
    <w:r>
      <w:tab/>
    </w:r>
    <w:fldSimple w:instr=" PAGE   \* MERGEFORMAT ">
      <w:r w:rsidR="00045ABE" w:rsidRPr="00045ABE">
        <w:rPr>
          <w:noProof/>
          <w:lang w:val="zh-CN"/>
        </w:rPr>
        <w:t>2</w:t>
      </w:r>
    </w:fldSimple>
    <w:r>
      <w:tab/>
    </w:r>
  </w:p>
  <w:p w:rsidR="00C71396" w:rsidRDefault="00C713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396" w:rsidRDefault="00C71396" w:rsidP="00EB3E93">
      <w:r>
        <w:separator/>
      </w:r>
    </w:p>
  </w:footnote>
  <w:footnote w:type="continuationSeparator" w:id="0">
    <w:p w:rsidR="00C71396" w:rsidRDefault="00C71396" w:rsidP="00EB3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98EBA2"/>
    <w:multiLevelType w:val="singleLevel"/>
    <w:tmpl w:val="AB98EBA2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B2B1DFFC"/>
    <w:multiLevelType w:val="singleLevel"/>
    <w:tmpl w:val="B2B1DFF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EC6C434D"/>
    <w:multiLevelType w:val="singleLevel"/>
    <w:tmpl w:val="EC6C434D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FBED15BB"/>
    <w:multiLevelType w:val="singleLevel"/>
    <w:tmpl w:val="FBED15BB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4">
    <w:nsid w:val="13B00E21"/>
    <w:multiLevelType w:val="singleLevel"/>
    <w:tmpl w:val="13B00E21"/>
    <w:lvl w:ilvl="0">
      <w:start w:val="3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5">
    <w:nsid w:val="4142298A"/>
    <w:multiLevelType w:val="singleLevel"/>
    <w:tmpl w:val="4142298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6">
    <w:nsid w:val="6C85DB70"/>
    <w:multiLevelType w:val="singleLevel"/>
    <w:tmpl w:val="6C85DB7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676C"/>
    <w:rsid w:val="00037890"/>
    <w:rsid w:val="00045ABE"/>
    <w:rsid w:val="000C0A3A"/>
    <w:rsid w:val="000C64FF"/>
    <w:rsid w:val="000F240D"/>
    <w:rsid w:val="00116123"/>
    <w:rsid w:val="00116FB3"/>
    <w:rsid w:val="00117C8F"/>
    <w:rsid w:val="00135491"/>
    <w:rsid w:val="001510C8"/>
    <w:rsid w:val="001530EC"/>
    <w:rsid w:val="00171257"/>
    <w:rsid w:val="00171C32"/>
    <w:rsid w:val="00172A27"/>
    <w:rsid w:val="001734C4"/>
    <w:rsid w:val="00177422"/>
    <w:rsid w:val="001959DC"/>
    <w:rsid w:val="00196196"/>
    <w:rsid w:val="001A7300"/>
    <w:rsid w:val="001B389D"/>
    <w:rsid w:val="001B6ED0"/>
    <w:rsid w:val="001F191C"/>
    <w:rsid w:val="001F5473"/>
    <w:rsid w:val="00221E40"/>
    <w:rsid w:val="00223F62"/>
    <w:rsid w:val="002319D6"/>
    <w:rsid w:val="00265F89"/>
    <w:rsid w:val="00270281"/>
    <w:rsid w:val="00282023"/>
    <w:rsid w:val="002964F1"/>
    <w:rsid w:val="002D6786"/>
    <w:rsid w:val="002E05E5"/>
    <w:rsid w:val="003140D8"/>
    <w:rsid w:val="0034045B"/>
    <w:rsid w:val="00361C3F"/>
    <w:rsid w:val="003624BC"/>
    <w:rsid w:val="00366708"/>
    <w:rsid w:val="0039014D"/>
    <w:rsid w:val="003B30A3"/>
    <w:rsid w:val="003E1AA8"/>
    <w:rsid w:val="003F3E5F"/>
    <w:rsid w:val="003F5E4D"/>
    <w:rsid w:val="0040370C"/>
    <w:rsid w:val="00406A0C"/>
    <w:rsid w:val="00411745"/>
    <w:rsid w:val="00411C92"/>
    <w:rsid w:val="00425290"/>
    <w:rsid w:val="004268D4"/>
    <w:rsid w:val="00427E0D"/>
    <w:rsid w:val="004360AA"/>
    <w:rsid w:val="00445F27"/>
    <w:rsid w:val="00451BD2"/>
    <w:rsid w:val="0046342D"/>
    <w:rsid w:val="00470996"/>
    <w:rsid w:val="0047225A"/>
    <w:rsid w:val="004901BF"/>
    <w:rsid w:val="0049121B"/>
    <w:rsid w:val="00494C17"/>
    <w:rsid w:val="004B4A35"/>
    <w:rsid w:val="004B6429"/>
    <w:rsid w:val="004D7726"/>
    <w:rsid w:val="00500813"/>
    <w:rsid w:val="00515886"/>
    <w:rsid w:val="005242BF"/>
    <w:rsid w:val="00544EDE"/>
    <w:rsid w:val="005465BE"/>
    <w:rsid w:val="00550C37"/>
    <w:rsid w:val="005746B6"/>
    <w:rsid w:val="00586045"/>
    <w:rsid w:val="005976A7"/>
    <w:rsid w:val="005A6D77"/>
    <w:rsid w:val="005B1D4E"/>
    <w:rsid w:val="005B39C9"/>
    <w:rsid w:val="005C7F8C"/>
    <w:rsid w:val="005E3E32"/>
    <w:rsid w:val="005F10BA"/>
    <w:rsid w:val="005F115F"/>
    <w:rsid w:val="005F56E6"/>
    <w:rsid w:val="006128DE"/>
    <w:rsid w:val="00633DA6"/>
    <w:rsid w:val="006479FA"/>
    <w:rsid w:val="00652E4A"/>
    <w:rsid w:val="0065335F"/>
    <w:rsid w:val="00654E8B"/>
    <w:rsid w:val="00667D6D"/>
    <w:rsid w:val="00675F87"/>
    <w:rsid w:val="00680ECE"/>
    <w:rsid w:val="00693C39"/>
    <w:rsid w:val="00697546"/>
    <w:rsid w:val="006C78D3"/>
    <w:rsid w:val="006F44F3"/>
    <w:rsid w:val="00717262"/>
    <w:rsid w:val="00782337"/>
    <w:rsid w:val="00782971"/>
    <w:rsid w:val="007E464E"/>
    <w:rsid w:val="007F1FB3"/>
    <w:rsid w:val="00800FF2"/>
    <w:rsid w:val="0082774D"/>
    <w:rsid w:val="00840109"/>
    <w:rsid w:val="00843921"/>
    <w:rsid w:val="008700B9"/>
    <w:rsid w:val="00873048"/>
    <w:rsid w:val="008837E1"/>
    <w:rsid w:val="008A24A1"/>
    <w:rsid w:val="008D3F77"/>
    <w:rsid w:val="00906AED"/>
    <w:rsid w:val="009208DD"/>
    <w:rsid w:val="009246AF"/>
    <w:rsid w:val="0092601E"/>
    <w:rsid w:val="00977CAF"/>
    <w:rsid w:val="00991D2E"/>
    <w:rsid w:val="00992778"/>
    <w:rsid w:val="0099784D"/>
    <w:rsid w:val="009A2B4A"/>
    <w:rsid w:val="009B02FE"/>
    <w:rsid w:val="009B26F0"/>
    <w:rsid w:val="009C7ED0"/>
    <w:rsid w:val="009D1415"/>
    <w:rsid w:val="009F47AE"/>
    <w:rsid w:val="00A430F4"/>
    <w:rsid w:val="00A607C0"/>
    <w:rsid w:val="00A82AF5"/>
    <w:rsid w:val="00A8333D"/>
    <w:rsid w:val="00A92356"/>
    <w:rsid w:val="00A95C48"/>
    <w:rsid w:val="00AB02FD"/>
    <w:rsid w:val="00AC2915"/>
    <w:rsid w:val="00AC2A8F"/>
    <w:rsid w:val="00AC48B1"/>
    <w:rsid w:val="00AD0E1F"/>
    <w:rsid w:val="00AD7265"/>
    <w:rsid w:val="00AE019E"/>
    <w:rsid w:val="00AE1BF1"/>
    <w:rsid w:val="00AE3F81"/>
    <w:rsid w:val="00AE4269"/>
    <w:rsid w:val="00AE66A2"/>
    <w:rsid w:val="00AF18D9"/>
    <w:rsid w:val="00AF7A57"/>
    <w:rsid w:val="00B03339"/>
    <w:rsid w:val="00B14C1C"/>
    <w:rsid w:val="00B30F8B"/>
    <w:rsid w:val="00B3782C"/>
    <w:rsid w:val="00B43BB7"/>
    <w:rsid w:val="00B53157"/>
    <w:rsid w:val="00B56044"/>
    <w:rsid w:val="00B60233"/>
    <w:rsid w:val="00B743A5"/>
    <w:rsid w:val="00B8709F"/>
    <w:rsid w:val="00B95BF3"/>
    <w:rsid w:val="00BB6FFC"/>
    <w:rsid w:val="00BB7DF8"/>
    <w:rsid w:val="00BD79CF"/>
    <w:rsid w:val="00BE0394"/>
    <w:rsid w:val="00BE3224"/>
    <w:rsid w:val="00BF1AD0"/>
    <w:rsid w:val="00C21DA9"/>
    <w:rsid w:val="00C36E01"/>
    <w:rsid w:val="00C435E3"/>
    <w:rsid w:val="00C5379B"/>
    <w:rsid w:val="00C658C3"/>
    <w:rsid w:val="00C71396"/>
    <w:rsid w:val="00C919A3"/>
    <w:rsid w:val="00CA75C1"/>
    <w:rsid w:val="00CD429F"/>
    <w:rsid w:val="00CD64B5"/>
    <w:rsid w:val="00CE08AA"/>
    <w:rsid w:val="00CF3C3F"/>
    <w:rsid w:val="00D10AAE"/>
    <w:rsid w:val="00D15B33"/>
    <w:rsid w:val="00D32E4C"/>
    <w:rsid w:val="00D46D89"/>
    <w:rsid w:val="00D60950"/>
    <w:rsid w:val="00D70BAD"/>
    <w:rsid w:val="00D8241E"/>
    <w:rsid w:val="00D8400B"/>
    <w:rsid w:val="00D908C0"/>
    <w:rsid w:val="00DA41B3"/>
    <w:rsid w:val="00DC0361"/>
    <w:rsid w:val="00DC6024"/>
    <w:rsid w:val="00DD30FF"/>
    <w:rsid w:val="00DF6344"/>
    <w:rsid w:val="00DF6B32"/>
    <w:rsid w:val="00E07C1E"/>
    <w:rsid w:val="00E115B6"/>
    <w:rsid w:val="00E37B71"/>
    <w:rsid w:val="00E44523"/>
    <w:rsid w:val="00E557EA"/>
    <w:rsid w:val="00E620CA"/>
    <w:rsid w:val="00E64458"/>
    <w:rsid w:val="00E97406"/>
    <w:rsid w:val="00E975C5"/>
    <w:rsid w:val="00EA5C17"/>
    <w:rsid w:val="00EB3E93"/>
    <w:rsid w:val="00EC2053"/>
    <w:rsid w:val="00EC3FD3"/>
    <w:rsid w:val="00ED4ED8"/>
    <w:rsid w:val="00EE2A14"/>
    <w:rsid w:val="00F32988"/>
    <w:rsid w:val="00F42054"/>
    <w:rsid w:val="00F4621D"/>
    <w:rsid w:val="00F6547A"/>
    <w:rsid w:val="00F71FD0"/>
    <w:rsid w:val="00F72751"/>
    <w:rsid w:val="00F92841"/>
    <w:rsid w:val="00F95AA1"/>
    <w:rsid w:val="00FB1E1B"/>
    <w:rsid w:val="00FB373A"/>
    <w:rsid w:val="01282E5E"/>
    <w:rsid w:val="01E8501F"/>
    <w:rsid w:val="020B16BB"/>
    <w:rsid w:val="02BF43F5"/>
    <w:rsid w:val="02F06A5D"/>
    <w:rsid w:val="04706539"/>
    <w:rsid w:val="09A35FB9"/>
    <w:rsid w:val="124955B5"/>
    <w:rsid w:val="12CD3243"/>
    <w:rsid w:val="164963BA"/>
    <w:rsid w:val="18A13CFD"/>
    <w:rsid w:val="1A1301D2"/>
    <w:rsid w:val="1C233108"/>
    <w:rsid w:val="1C904541"/>
    <w:rsid w:val="1FDC0243"/>
    <w:rsid w:val="225560C7"/>
    <w:rsid w:val="276936FE"/>
    <w:rsid w:val="29AE18B2"/>
    <w:rsid w:val="2C712E89"/>
    <w:rsid w:val="2D50560D"/>
    <w:rsid w:val="2EB95F25"/>
    <w:rsid w:val="3098633A"/>
    <w:rsid w:val="346E4D1D"/>
    <w:rsid w:val="362A7A5D"/>
    <w:rsid w:val="36755259"/>
    <w:rsid w:val="38151B71"/>
    <w:rsid w:val="39324DCF"/>
    <w:rsid w:val="3AF36035"/>
    <w:rsid w:val="3C4F5FAA"/>
    <w:rsid w:val="3FCC0339"/>
    <w:rsid w:val="41D57CA9"/>
    <w:rsid w:val="41FB5790"/>
    <w:rsid w:val="453B517C"/>
    <w:rsid w:val="464B1274"/>
    <w:rsid w:val="4A05593F"/>
    <w:rsid w:val="4CC90339"/>
    <w:rsid w:val="4CE154D6"/>
    <w:rsid w:val="4FE60E64"/>
    <w:rsid w:val="51B53CE5"/>
    <w:rsid w:val="53910AC9"/>
    <w:rsid w:val="561C2746"/>
    <w:rsid w:val="576833AB"/>
    <w:rsid w:val="5C2E0D6A"/>
    <w:rsid w:val="5C837AF8"/>
    <w:rsid w:val="62245B00"/>
    <w:rsid w:val="62E51FAC"/>
    <w:rsid w:val="657A0997"/>
    <w:rsid w:val="671F45E3"/>
    <w:rsid w:val="674B7567"/>
    <w:rsid w:val="6787066D"/>
    <w:rsid w:val="688F5AF0"/>
    <w:rsid w:val="6AE126AF"/>
    <w:rsid w:val="6C7C5D98"/>
    <w:rsid w:val="6CB7135C"/>
    <w:rsid w:val="6D123F37"/>
    <w:rsid w:val="6DE37AE0"/>
    <w:rsid w:val="6FE93A75"/>
    <w:rsid w:val="72AC43DD"/>
    <w:rsid w:val="757D5C08"/>
    <w:rsid w:val="76E568DC"/>
    <w:rsid w:val="77FE3A49"/>
    <w:rsid w:val="78FD59A3"/>
    <w:rsid w:val="7A41793F"/>
    <w:rsid w:val="7A9A48E0"/>
    <w:rsid w:val="7B012BFA"/>
    <w:rsid w:val="7ECF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93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EB3E9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B3E9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annotation text"/>
    <w:basedOn w:val="a"/>
    <w:link w:val="Char"/>
    <w:uiPriority w:val="99"/>
    <w:rsid w:val="00EB3E93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EB3E93"/>
    <w:rPr>
      <w:rFonts w:cs="Times New Roman"/>
    </w:rPr>
  </w:style>
  <w:style w:type="paragraph" w:styleId="a4">
    <w:name w:val="Balloon Text"/>
    <w:basedOn w:val="a"/>
    <w:link w:val="Char0"/>
    <w:uiPriority w:val="99"/>
    <w:semiHidden/>
    <w:rsid w:val="00EB3E9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EB3E93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EB3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EB3E93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EB3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EB3E93"/>
    <w:rPr>
      <w:rFonts w:cs="Times New Roman"/>
      <w:sz w:val="18"/>
      <w:szCs w:val="18"/>
    </w:rPr>
  </w:style>
  <w:style w:type="character" w:styleId="a7">
    <w:name w:val="annotation reference"/>
    <w:basedOn w:val="a0"/>
    <w:uiPriority w:val="99"/>
    <w:semiHidden/>
    <w:rsid w:val="00EB3E93"/>
    <w:rPr>
      <w:rFonts w:cs="Times New Roman"/>
      <w:sz w:val="21"/>
      <w:szCs w:val="21"/>
    </w:rPr>
  </w:style>
  <w:style w:type="table" w:styleId="a8">
    <w:name w:val="Table Grid"/>
    <w:basedOn w:val="a1"/>
    <w:uiPriority w:val="99"/>
    <w:rsid w:val="00EB3E9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EB3E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5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3897</Words>
  <Characters>250</Characters>
  <Application>Microsoft Office Word</Application>
  <DocSecurity>0</DocSecurity>
  <Lines>2</Lines>
  <Paragraphs>8</Paragraphs>
  <ScaleCrop>false</ScaleCrop>
  <Company>Microsoft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朱永国</dc:creator>
  <cp:keywords/>
  <dc:description/>
  <cp:lastModifiedBy>朱永国</cp:lastModifiedBy>
  <cp:revision>27</cp:revision>
  <cp:lastPrinted>2019-01-28T07:49:00Z</cp:lastPrinted>
  <dcterms:created xsi:type="dcterms:W3CDTF">2019-01-09T09:05:00Z</dcterms:created>
  <dcterms:modified xsi:type="dcterms:W3CDTF">2019-01-31T01:34:00Z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